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9694b743504dc775fe73d5876c6ecc8a13b52a"/>
      <w:r>
        <w:t xml:space="preserve">The Close the Revolving Door Act — Full Proposed Bill Text</w:t>
      </w:r>
      <w:bookmarkEnd w:id="20"/>
    </w:p>
    <w:p>
      <w:pPr>
        <w:pStyle w:val="FirstParagraph"/>
      </w:pPr>
      <w:r>
        <w:rPr>
          <w:b/>
        </w:rPr>
        <w:t xml:space="preserve">A BILL to restrict paid lobbying by former Members of Congress and senior government officials, to close the shadow-lobbying loophole, to limit conflicts arising from movement between government and industry, and for other purposes.</w:t>
      </w:r>
    </w:p>
    <w:p>
      <w:pPr>
        <w:pStyle w:val="BodyText"/>
      </w:pPr>
      <w:r>
        <w:rPr>
          <w:i/>
        </w:rPr>
        <w:t xml:space="preserve">Discussion draft prepared for review by legislative counsel and for presentation to Members of Congress. Proposed statutory language, not final legislative text. The authors are not attorneys. Section numbers and code references are illustrative and would be conformed by counsel.</w:t>
      </w:r>
    </w:p>
    <w:p>
      <w:r>
        <w:pict>
          <v:rect style="width:0;height:1.5pt" o:hralign="center" o:hrstd="t" o:hr="t"/>
        </w:pict>
      </w:r>
    </w:p>
    <w:p>
      <w:pPr>
        <w:pStyle w:val="Heading2"/>
      </w:pPr>
      <w:bookmarkStart w:id="21" w:name="section-1.-short-title"/>
      <w:r>
        <w:t xml:space="preserve">Section 1. Short Title</w:t>
      </w:r>
      <w:bookmarkEnd w:id="21"/>
    </w:p>
    <w:p>
      <w:pPr>
        <w:pStyle w:val="FirstParagraph"/>
      </w:pPr>
      <w:r>
        <w:t xml:space="preserve">This Act may be cited as the</w:t>
      </w:r>
      <w:r>
        <w:t xml:space="preserve"> </w:t>
      </w:r>
      <w:r>
        <w:t xml:space="preserve">“</w:t>
      </w:r>
      <w:r>
        <w:t xml:space="preserve">Close the Revolving Door Act.</w:t>
      </w:r>
      <w:r>
        <w:t xml:space="preserve">”</w:t>
      </w:r>
    </w:p>
    <w:p>
      <w:pPr>
        <w:pStyle w:val="Heading2"/>
      </w:pPr>
      <w:bookmarkStart w:id="22" w:name="section-2.-findings-and-purpose"/>
      <w:r>
        <w:t xml:space="preserve">Section 2. Findings and Purpose</w:t>
      </w:r>
      <w:bookmarkEnd w:id="22"/>
    </w:p>
    <w:p>
      <w:pPr>
        <w:numPr>
          <w:ilvl w:val="0"/>
          <w:numId w:val="1001"/>
        </w:numPr>
        <w:pStyle w:val="Compact"/>
      </w:pPr>
      <w:r>
        <w:rPr>
          <w:b/>
        </w:rPr>
        <w:t xml:space="preserve">Findings.</w:t>
      </w:r>
      <w:r>
        <w:t xml:space="preserve"> </w:t>
      </w:r>
      <w:r>
        <w:t xml:space="preserve">Congress finds that —</w:t>
      </w:r>
    </w:p>
    <w:p>
      <w:pPr>
        <w:numPr>
          <w:ilvl w:val="0"/>
          <w:numId w:val="1002"/>
        </w:numPr>
      </w:pPr>
      <w:r>
        <w:t xml:space="preserve">public confidence in government is undermined when public office is used as a platform to obtain lucrative private employment influencing the same government;</w:t>
      </w:r>
    </w:p>
    <w:p>
      <w:pPr>
        <w:numPr>
          <w:ilvl w:val="0"/>
          <w:numId w:val="1002"/>
        </w:numPr>
      </w:pPr>
      <w:r>
        <w:t xml:space="preserve">a large share of departing Members of Congress become lobbyists or influence-industry advisers, and existing cooling-off periods of one year for former Representatives and two years for former Senators are inadequate;</w:t>
      </w:r>
    </w:p>
    <w:p>
      <w:pPr>
        <w:numPr>
          <w:ilvl w:val="0"/>
          <w:numId w:val="1002"/>
        </w:numPr>
      </w:pPr>
      <w:r>
        <w:t xml:space="preserve">the Lobbying Disclosure Act’s threshold, which requires registration only where lobbying constitutes at least 20 percent of an individual’s time for a client, enables senior individuals to direct and support lobbying while avoiding registration and disclosure, a practice commonly called</w:t>
      </w:r>
      <w:r>
        <w:t xml:space="preserve"> </w:t>
      </w:r>
      <w:r>
        <w:t xml:space="preserve">“</w:t>
      </w:r>
      <w:r>
        <w:t xml:space="preserve">shadow lobbying</w:t>
      </w:r>
      <w:r>
        <w:t xml:space="preserve">”</w:t>
      </w:r>
      <w:r>
        <w:t xml:space="preserve">;</w:t>
      </w:r>
    </w:p>
    <w:p>
      <w:pPr>
        <w:numPr>
          <w:ilvl w:val="0"/>
          <w:numId w:val="1002"/>
        </w:numPr>
      </w:pPr>
      <w:r>
        <w:t xml:space="preserve">movement of officials into government directly from the industries they regulate, including through compensation arrangements contingent on Federal service, creates conflicts of interest; and</w:t>
      </w:r>
    </w:p>
    <w:p>
      <w:pPr>
        <w:numPr>
          <w:ilvl w:val="0"/>
          <w:numId w:val="1002"/>
        </w:numPr>
      </w:pPr>
      <w:r>
        <w:t xml:space="preserve">representation of foreign governments and foreign political parties by former senior officials trades on access and knowledge acquired in public service.</w:t>
      </w:r>
    </w:p>
    <w:p>
      <w:pPr>
        <w:numPr>
          <w:ilvl w:val="0"/>
          <w:numId w:val="1003"/>
        </w:numPr>
        <w:pStyle w:val="Compact"/>
      </w:pPr>
      <w:r>
        <w:rPr>
          <w:b/>
        </w:rPr>
        <w:t xml:space="preserve">Purpose.</w:t>
      </w:r>
      <w:r>
        <w:t xml:space="preserve"> </w:t>
      </w:r>
      <w:r>
        <w:t xml:space="preserve">The purpose of this Act is to restore public trust by limiting paid representation of private and foreign interests by those who have held public trust, while preserving every person’s constitutional right to petition the Government on their own behalf.</w:t>
      </w:r>
    </w:p>
    <w:p>
      <w:pPr>
        <w:pStyle w:val="Heading2"/>
      </w:pPr>
      <w:bookmarkStart w:id="23" w:name="X47edbbe8b49d7d512d51e2fb8b3e9a8535960be"/>
      <w:r>
        <w:t xml:space="preserve">Section 3. Lifetime Lobbying Ban for Former Members of Congress</w:t>
      </w:r>
      <w:bookmarkEnd w:id="23"/>
    </w:p>
    <w:p>
      <w:pPr>
        <w:numPr>
          <w:ilvl w:val="0"/>
          <w:numId w:val="1004"/>
        </w:numPr>
      </w:pPr>
      <w:r>
        <w:rPr>
          <w:b/>
        </w:rPr>
        <w:t xml:space="preserve">Prohibition.</w:t>
      </w:r>
      <w:r>
        <w:t xml:space="preserve"> </w:t>
      </w:r>
      <w:r>
        <w:t xml:space="preserve">A former Member of the House of Representatives or the Senate shall not, at any time after leaving office, engage in lobbying activities or lobbying contacts (as defined in the Lobbying Disclosure Act, as amended by this Act) on behalf of any client for compensation, or register or be required to register as a lobbyist.</w:t>
      </w:r>
    </w:p>
    <w:p>
      <w:pPr>
        <w:numPr>
          <w:ilvl w:val="0"/>
          <w:numId w:val="1004"/>
        </w:numPr>
      </w:pPr>
      <w:r>
        <w:rPr>
          <w:b/>
        </w:rPr>
        <w:t xml:space="preserve">Scope.</w:t>
      </w:r>
      <w:r>
        <w:t xml:space="preserve"> </w:t>
      </w:r>
      <w:r>
        <w:t xml:space="preserve">This section restricts compensated lobbying only. It does not restrict a former Member from expressing personal views, providing uncompensated civic advocacy, or petitioning the Government on the former Member’s own behalf.</w:t>
      </w:r>
    </w:p>
    <w:p>
      <w:pPr>
        <w:pStyle w:val="Heading2"/>
      </w:pPr>
      <w:bookmarkStart w:id="24" w:name="X9fb2136659761feb06b496965cdaceaf2e33551"/>
      <w:r>
        <w:t xml:space="preserve">Section 4. Extended Cooling-Off Periods for Senior Personnel</w:t>
      </w:r>
      <w:bookmarkEnd w:id="24"/>
    </w:p>
    <w:p>
      <w:pPr>
        <w:numPr>
          <w:ilvl w:val="0"/>
          <w:numId w:val="1005"/>
        </w:numPr>
      </w:pPr>
      <w:r>
        <w:rPr>
          <w:b/>
        </w:rPr>
        <w:t xml:space="preserve">Senior congressional staff.</w:t>
      </w:r>
      <w:r>
        <w:t xml:space="preserve"> </w:t>
      </w:r>
      <w:r>
        <w:t xml:space="preserve">Covered senior legislative-branch employees shall be barred from lobbying the Congress for a period of</w:t>
      </w:r>
      <w:r>
        <w:t xml:space="preserve"> </w:t>
      </w:r>
      <w:r>
        <w:rPr>
          <w:b/>
        </w:rPr>
        <w:t xml:space="preserve">four years</w:t>
      </w:r>
      <w:r>
        <w:t xml:space="preserve"> </w:t>
      </w:r>
      <w:r>
        <w:t xml:space="preserve">after leaving covered employment.</w:t>
      </w:r>
    </w:p>
    <w:p>
      <w:pPr>
        <w:numPr>
          <w:ilvl w:val="0"/>
          <w:numId w:val="1005"/>
        </w:numPr>
      </w:pPr>
      <w:r>
        <w:rPr>
          <w:b/>
        </w:rPr>
        <w:t xml:space="preserve">Senior executive officials.</w:t>
      </w:r>
      <w:r>
        <w:t xml:space="preserve"> </w:t>
      </w:r>
      <w:r>
        <w:t xml:space="preserve">“</w:t>
      </w:r>
      <w:r>
        <w:t xml:space="preserve">Senior</w:t>
      </w:r>
      <w:r>
        <w:t xml:space="preserve">”</w:t>
      </w:r>
      <w:r>
        <w:t xml:space="preserve"> </w:t>
      </w:r>
      <w:r>
        <w:t xml:space="preserve">officials under section 207 of title 18, United States Code, shall be subject to a</w:t>
      </w:r>
      <w:r>
        <w:t xml:space="preserve"> </w:t>
      </w:r>
      <w:r>
        <w:rPr>
          <w:b/>
        </w:rPr>
        <w:t xml:space="preserve">four-year</w:t>
      </w:r>
      <w:r>
        <w:t xml:space="preserve"> </w:t>
      </w:r>
      <w:r>
        <w:t xml:space="preserve">cooling-off period, and</w:t>
      </w:r>
      <w:r>
        <w:t xml:space="preserve"> </w:t>
      </w:r>
      <w:r>
        <w:t xml:space="preserve">“</w:t>
      </w:r>
      <w:r>
        <w:t xml:space="preserve">very senior</w:t>
      </w:r>
      <w:r>
        <w:t xml:space="preserve">”</w:t>
      </w:r>
      <w:r>
        <w:t xml:space="preserve"> </w:t>
      </w:r>
      <w:r>
        <w:t xml:space="preserve">officials to a</w:t>
      </w:r>
      <w:r>
        <w:t xml:space="preserve"> </w:t>
      </w:r>
      <w:r>
        <w:rPr>
          <w:b/>
        </w:rPr>
        <w:t xml:space="preserve">six-year</w:t>
      </w:r>
      <w:r>
        <w:t xml:space="preserve"> </w:t>
      </w:r>
      <w:r>
        <w:t xml:space="preserve">cooling-off period, before making lobbying contacts with their former agency or, for very senior officials, with the executive branch generally.</w:t>
      </w:r>
    </w:p>
    <w:p>
      <w:pPr>
        <w:numPr>
          <w:ilvl w:val="0"/>
          <w:numId w:val="1005"/>
        </w:numPr>
      </w:pPr>
      <w:r>
        <w:rPr>
          <w:b/>
        </w:rPr>
        <w:t xml:space="preserve">Regulators and procurement officials.</w:t>
      </w:r>
      <w:r>
        <w:t xml:space="preserve"> </w:t>
      </w:r>
      <w:r>
        <w:t xml:space="preserve">An official who exercised significant regulatory authority over, or awarded or administered contracts to, a particular entity shall be barred for</w:t>
      </w:r>
      <w:r>
        <w:t xml:space="preserve"> </w:t>
      </w:r>
      <w:r>
        <w:rPr>
          <w:b/>
        </w:rPr>
        <w:t xml:space="preserve">six years</w:t>
      </w:r>
      <w:r>
        <w:t xml:space="preserve"> </w:t>
      </w:r>
      <w:r>
        <w:t xml:space="preserve">from lobbying on behalf of, or accepting compensated employment to influence Federal action for, that entity or its affiliates.</w:t>
      </w:r>
    </w:p>
    <w:p>
      <w:pPr>
        <w:pStyle w:val="Heading2"/>
      </w:pPr>
      <w:bookmarkStart w:id="25" w:name="Xea15bebe3163598016fe5a9ab6c99639cd7cabd"/>
      <w:r>
        <w:t xml:space="preserve">Section 5. Closing the Shadow-Lobbying Loophole</w:t>
      </w:r>
      <w:bookmarkEnd w:id="25"/>
    </w:p>
    <w:p>
      <w:pPr>
        <w:numPr>
          <w:ilvl w:val="0"/>
          <w:numId w:val="1006"/>
        </w:numPr>
      </w:pPr>
      <w:r>
        <w:rPr>
          <w:b/>
        </w:rPr>
        <w:t xml:space="preserve">Elimination of the 20 percent threshold.</w:t>
      </w:r>
      <w:r>
        <w:t xml:space="preserve"> </w:t>
      </w:r>
      <w:r>
        <w:t xml:space="preserve">The Lobbying Disclosure Act is amended to remove the provision excluding from the definition of</w:t>
      </w:r>
      <w:r>
        <w:t xml:space="preserve"> </w:t>
      </w:r>
      <w:r>
        <w:t xml:space="preserve">“</w:t>
      </w:r>
      <w:r>
        <w:t xml:space="preserve">lobbyist</w:t>
      </w:r>
      <w:r>
        <w:t xml:space="preserve">”</w:t>
      </w:r>
      <w:r>
        <w:t xml:space="preserve"> </w:t>
      </w:r>
      <w:r>
        <w:t xml:space="preserve">an individual whose lobbying activities constitute less than 20 percent of the individual’s time in services for a client.</w:t>
      </w:r>
    </w:p>
    <w:p>
      <w:pPr>
        <w:numPr>
          <w:ilvl w:val="0"/>
          <w:numId w:val="1006"/>
        </w:numPr>
      </w:pPr>
      <w:r>
        <w:rPr>
          <w:b/>
        </w:rPr>
        <w:t xml:space="preserve">Strategic lobbying activities included.</w:t>
      </w:r>
      <w:r>
        <w:t xml:space="preserve"> </w:t>
      </w:r>
      <w:r>
        <w:t xml:space="preserve">The definition of</w:t>
      </w:r>
      <w:r>
        <w:t xml:space="preserve"> </w:t>
      </w:r>
      <w:r>
        <w:t xml:space="preserve">“</w:t>
      </w:r>
      <w:r>
        <w:t xml:space="preserve">lobbying activities</w:t>
      </w:r>
      <w:r>
        <w:t xml:space="preserve">”</w:t>
      </w:r>
      <w:r>
        <w:t xml:space="preserve"> </w:t>
      </w:r>
      <w:r>
        <w:t xml:space="preserve">is amended to include compensated services consisting of strategic advice, planning, supervision, or management provided in support of lobbying contacts made by others, where the individual providing such services does so with knowledge that the services are in support of such contacts.</w:t>
      </w:r>
    </w:p>
    <w:p>
      <w:pPr>
        <w:numPr>
          <w:ilvl w:val="0"/>
          <w:numId w:val="1006"/>
        </w:numPr>
      </w:pPr>
      <w:r>
        <w:rPr>
          <w:b/>
        </w:rPr>
        <w:t xml:space="preserve">Direction and control.</w:t>
      </w:r>
      <w:r>
        <w:t xml:space="preserve"> </w:t>
      </w:r>
      <w:r>
        <w:t xml:space="preserve">A person who, for compensation, directs or controls a lobbying campaign on behalf of a client shall register and report under the Act, whether or not that person personally makes a lobbying contact.</w:t>
      </w:r>
    </w:p>
    <w:p>
      <w:pPr>
        <w:numPr>
          <w:ilvl w:val="0"/>
          <w:numId w:val="1006"/>
        </w:numPr>
      </w:pPr>
      <w:r>
        <w:rPr>
          <w:b/>
        </w:rPr>
        <w:t xml:space="preserve">Rule of construction.</w:t>
      </w:r>
      <w:r>
        <w:t xml:space="preserve"> </w:t>
      </w:r>
      <w:r>
        <w:t xml:space="preserve">Nothing in this section requires registration by a person providing only legal representation in an adjudication, or ordinary public commentary, not undertaken to influence covered Government action for a client.</w:t>
      </w:r>
    </w:p>
    <w:p>
      <w:pPr>
        <w:pStyle w:val="Heading2"/>
      </w:pPr>
      <w:bookmarkStart w:id="26" w:name="X60b6f69b08575600a8d9b2d0ca7563e794a300d"/>
      <w:r>
        <w:t xml:space="preserve">Section 6. Restrictions on the Reverse Revolving Door</w:t>
      </w:r>
      <w:bookmarkEnd w:id="26"/>
    </w:p>
    <w:p>
      <w:pPr>
        <w:numPr>
          <w:ilvl w:val="0"/>
          <w:numId w:val="1007"/>
        </w:numPr>
      </w:pPr>
      <w:r>
        <w:rPr>
          <w:b/>
        </w:rPr>
        <w:t xml:space="preserve">Recusal.</w:t>
      </w:r>
      <w:r>
        <w:t xml:space="preserve"> </w:t>
      </w:r>
      <w:r>
        <w:t xml:space="preserve">An officer or employee appointed to a covered senior position shall recuse from, and not participate personally and substantially in, any particular matter involving a former employer or former client for a period of</w:t>
      </w:r>
      <w:r>
        <w:t xml:space="preserve"> </w:t>
      </w:r>
      <w:r>
        <w:rPr>
          <w:b/>
        </w:rPr>
        <w:t xml:space="preserve">four years</w:t>
      </w:r>
      <w:r>
        <w:t xml:space="preserve"> </w:t>
      </w:r>
      <w:r>
        <w:t xml:space="preserve">after entering Government service.</w:t>
      </w:r>
    </w:p>
    <w:p>
      <w:pPr>
        <w:numPr>
          <w:ilvl w:val="0"/>
          <w:numId w:val="1007"/>
        </w:numPr>
      </w:pPr>
      <w:r>
        <w:rPr>
          <w:b/>
        </w:rPr>
        <w:t xml:space="preserve">Ban on incentive payments contingent on Government service.</w:t>
      </w:r>
      <w:r>
        <w:t xml:space="preserve"> </w:t>
      </w:r>
      <w:r>
        <w:t xml:space="preserve">No person shall pay, and no incoming officer or employee shall accept, any bonus, award, or accelerated vesting or compensation that is contingent on, or provided by reason of, the person’s acceptance of a Federal position. This subsection does not affect vested compensation earned for prior private employment on terms not contingent on Government service.</w:t>
      </w:r>
    </w:p>
    <w:p>
      <w:pPr>
        <w:pStyle w:val="Heading2"/>
      </w:pPr>
      <w:bookmarkStart w:id="27" w:name="X5a52ba59a31226e92d5dbc473410808cf64beea"/>
      <w:r>
        <w:t xml:space="preserve">Section 7. Barring the Foreign Revolving Door</w:t>
      </w:r>
      <w:bookmarkEnd w:id="27"/>
    </w:p>
    <w:p>
      <w:pPr>
        <w:numPr>
          <w:ilvl w:val="0"/>
          <w:numId w:val="1008"/>
        </w:numPr>
      </w:pPr>
      <w:r>
        <w:rPr>
          <w:b/>
        </w:rPr>
        <w:t xml:space="preserve">Lifetime bar.</w:t>
      </w:r>
      <w:r>
        <w:t xml:space="preserve"> </w:t>
      </w:r>
      <w:r>
        <w:t xml:space="preserve">A former Member of Congress, and a former</w:t>
      </w:r>
      <w:r>
        <w:t xml:space="preserve"> </w:t>
      </w:r>
      <w:r>
        <w:t xml:space="preserve">“</w:t>
      </w:r>
      <w:r>
        <w:t xml:space="preserve">senior</w:t>
      </w:r>
      <w:r>
        <w:t xml:space="preserve">”</w:t>
      </w:r>
      <w:r>
        <w:t xml:space="preserve"> </w:t>
      </w:r>
      <w:r>
        <w:t xml:space="preserve">or</w:t>
      </w:r>
      <w:r>
        <w:t xml:space="preserve"> </w:t>
      </w:r>
      <w:r>
        <w:t xml:space="preserve">“</w:t>
      </w:r>
      <w:r>
        <w:t xml:space="preserve">very senior</w:t>
      </w:r>
      <w:r>
        <w:t xml:space="preserve">”</w:t>
      </w:r>
      <w:r>
        <w:t xml:space="preserve"> </w:t>
      </w:r>
      <w:r>
        <w:t xml:space="preserve">official as defined under section 207 of title 18, shall be permanently barred from engaging in lobbying activities, or acting as an agent, on behalf of a foreign government or foreign political party.</w:t>
      </w:r>
    </w:p>
    <w:p>
      <w:pPr>
        <w:numPr>
          <w:ilvl w:val="0"/>
          <w:numId w:val="1008"/>
        </w:numPr>
      </w:pPr>
      <w:r>
        <w:rPr>
          <w:b/>
        </w:rPr>
        <w:t xml:space="preserve">Foreign Agents Registration Act enforcement.</w:t>
      </w:r>
      <w:r>
        <w:t xml:space="preserve"> </w:t>
      </w:r>
      <w:r>
        <w:t xml:space="preserve">The Act directs strengthened enforcement of, and civil penalty authority under, the Foreign Agents Registration Act, and improved public disclosure of registrations.</w:t>
      </w:r>
    </w:p>
    <w:p>
      <w:pPr>
        <w:pStyle w:val="Heading2"/>
      </w:pPr>
      <w:bookmarkStart w:id="28" w:name="Xac3fb478ebc808365dcf351a946470f513d5cf7"/>
      <w:r>
        <w:t xml:space="preserve">Section 8. Transparency: Public Revolving-Door Database</w:t>
      </w:r>
      <w:bookmarkEnd w:id="28"/>
    </w:p>
    <w:p>
      <w:pPr>
        <w:pStyle w:val="FirstParagraph"/>
      </w:pPr>
      <w:r>
        <w:t xml:space="preserve">The Clerk of the House, the Secretary of the Senate, and the Office of Government Ethics shall jointly maintain a searchable public database recording, for each covered official who leaves Government service, the official’s former position and subsequent employment involving lobbying, consulting, or representation of clients before the Federal Government, updated at least quarterly.</w:t>
      </w:r>
    </w:p>
    <w:p>
      <w:pPr>
        <w:pStyle w:val="Heading2"/>
      </w:pPr>
      <w:bookmarkStart w:id="29" w:name="section-9.-enforcement"/>
      <w:r>
        <w:t xml:space="preserve">Section 9. Enforcement</w:t>
      </w:r>
      <w:bookmarkEnd w:id="29"/>
    </w:p>
    <w:p>
      <w:pPr>
        <w:numPr>
          <w:ilvl w:val="0"/>
          <w:numId w:val="1009"/>
        </w:numPr>
      </w:pPr>
      <w:r>
        <w:rPr>
          <w:b/>
        </w:rPr>
        <w:t xml:space="preserve">Civil penalties.</w:t>
      </w:r>
      <w:r>
        <w:t xml:space="preserve"> </w:t>
      </w:r>
      <w:r>
        <w:t xml:space="preserve">A violation of this Act is subject to civil penalties comparable to and not less than those under the Lobbying Disclosure Act.</w:t>
      </w:r>
    </w:p>
    <w:p>
      <w:pPr>
        <w:numPr>
          <w:ilvl w:val="0"/>
          <w:numId w:val="1009"/>
        </w:numPr>
      </w:pPr>
      <w:r>
        <w:rPr>
          <w:b/>
        </w:rPr>
        <w:t xml:space="preserve">Disgorgement.</w:t>
      </w:r>
      <w:r>
        <w:t xml:space="preserve"> </w:t>
      </w:r>
      <w:r>
        <w:t xml:space="preserve">A person who violates this Act shall disgorge all compensation received for the prohibited activity.</w:t>
      </w:r>
    </w:p>
    <w:p>
      <w:pPr>
        <w:numPr>
          <w:ilvl w:val="0"/>
          <w:numId w:val="1009"/>
        </w:numPr>
      </w:pPr>
      <w:r>
        <w:rPr>
          <w:b/>
        </w:rPr>
        <w:t xml:space="preserve">Debarment.</w:t>
      </w:r>
      <w:r>
        <w:t xml:space="preserve"> </w:t>
      </w:r>
      <w:r>
        <w:t xml:space="preserve">A person who knowingly violates this Act may be barred from engaging in Federal lobbying for a period of up to five years.</w:t>
      </w:r>
    </w:p>
    <w:p>
      <w:pPr>
        <w:numPr>
          <w:ilvl w:val="0"/>
          <w:numId w:val="1009"/>
        </w:numPr>
      </w:pPr>
      <w:r>
        <w:rPr>
          <w:b/>
        </w:rPr>
        <w:t xml:space="preserve">Referral.</w:t>
      </w:r>
      <w:r>
        <w:t xml:space="preserve"> </w:t>
      </w:r>
      <w:r>
        <w:t xml:space="preserve">Willful violations shall be referred to the Department of Justice, and enforcement actions shall be reported publicly each year.</w:t>
      </w:r>
    </w:p>
    <w:p>
      <w:pPr>
        <w:pStyle w:val="Heading2"/>
      </w:pPr>
      <w:bookmarkStart w:id="30" w:name="Xb43d3b141f947113730a068df30b8d1fd45b838"/>
      <w:r>
        <w:t xml:space="preserve">Section 10. Preservation of Constitutional Rights</w:t>
      </w:r>
      <w:bookmarkEnd w:id="30"/>
    </w:p>
    <w:p>
      <w:pPr>
        <w:pStyle w:val="FirstParagraph"/>
      </w:pPr>
      <w:r>
        <w:t xml:space="preserve">Nothing in this Act shall be construed to restrict a person’s right to petition the Government, to speak or publish on matters of public concern, or to advocate without compensation on the person’s own behalf. The restrictions in this Act apply to compensated representation of the interests of others and shall be construed to be narrowly tailored to that purpose.</w:t>
      </w:r>
    </w:p>
    <w:p>
      <w:pPr>
        <w:pStyle w:val="Heading2"/>
      </w:pPr>
      <w:bookmarkStart w:id="31" w:name="section-11.-definitions"/>
      <w:r>
        <w:t xml:space="preserve">Section 11. Definitions</w:t>
      </w:r>
      <w:bookmarkEnd w:id="31"/>
    </w:p>
    <w:p>
      <w:pPr>
        <w:pStyle w:val="FirstParagraph"/>
      </w:pPr>
      <w:r>
        <w:t xml:space="preserve">The terms</w:t>
      </w:r>
      <w:r>
        <w:t xml:space="preserve"> </w:t>
      </w:r>
      <w:r>
        <w:t xml:space="preserve">“</w:t>
      </w:r>
      <w:r>
        <w:t xml:space="preserve">lobbyist,</w:t>
      </w:r>
      <w:r>
        <w:t xml:space="preserve">”</w:t>
      </w:r>
      <w:r>
        <w:t xml:space="preserve"> </w:t>
      </w:r>
      <w:r>
        <w:t xml:space="preserve">“</w:t>
      </w:r>
      <w:r>
        <w:t xml:space="preserve">lobbying activities,</w:t>
      </w:r>
      <w:r>
        <w:t xml:space="preserve">”</w:t>
      </w:r>
      <w:r>
        <w:t xml:space="preserve"> </w:t>
      </w:r>
      <w:r>
        <w:t xml:space="preserve">and</w:t>
      </w:r>
      <w:r>
        <w:t xml:space="preserve"> </w:t>
      </w:r>
      <w:r>
        <w:t xml:space="preserve">“</w:t>
      </w:r>
      <w:r>
        <w:t xml:space="preserve">lobbying contact</w:t>
      </w:r>
      <w:r>
        <w:t xml:space="preserve">”</w:t>
      </w:r>
      <w:r>
        <w:t xml:space="preserve"> </w:t>
      </w:r>
      <w:r>
        <w:t xml:space="preserve">have the meanings given in the Lobbying Disclosure Act, as amended by this Act;</w:t>
      </w:r>
      <w:r>
        <w:t xml:space="preserve"> </w:t>
      </w:r>
      <w:r>
        <w:t xml:space="preserve">“</w:t>
      </w:r>
      <w:r>
        <w:t xml:space="preserve">senior</w:t>
      </w:r>
      <w:r>
        <w:t xml:space="preserve">”</w:t>
      </w:r>
      <w:r>
        <w:t xml:space="preserve"> </w:t>
      </w:r>
      <w:r>
        <w:t xml:space="preserve">and</w:t>
      </w:r>
      <w:r>
        <w:t xml:space="preserve"> </w:t>
      </w:r>
      <w:r>
        <w:t xml:space="preserve">“</w:t>
      </w:r>
      <w:r>
        <w:t xml:space="preserve">very senior</w:t>
      </w:r>
      <w:r>
        <w:t xml:space="preserve">”</w:t>
      </w:r>
      <w:r>
        <w:t xml:space="preserve"> </w:t>
      </w:r>
      <w:r>
        <w:t xml:space="preserve">officials have the meanings given under section 207 of title 18, United States Code; and</w:t>
      </w:r>
      <w:r>
        <w:t xml:space="preserve"> </w:t>
      </w:r>
      <w:r>
        <w:t xml:space="preserve">“</w:t>
      </w:r>
      <w:r>
        <w:t xml:space="preserve">covered senior legislative-branch employee</w:t>
      </w:r>
      <w:r>
        <w:t xml:space="preserve">”</w:t>
      </w:r>
      <w:r>
        <w:t xml:space="preserve"> </w:t>
      </w:r>
      <w:r>
        <w:t xml:space="preserve">shall be defined by rule to include the most senior compensated staff of Members, committees, and leadership offices.</w:t>
      </w:r>
    </w:p>
    <w:p>
      <w:pPr>
        <w:pStyle w:val="Heading2"/>
      </w:pPr>
      <w:bookmarkStart w:id="32" w:name="X5f625c1763b80c85099cbfb4427c121de9ca3b2"/>
      <w:r>
        <w:t xml:space="preserve">Section 12. Effective Date; Application; Severability</w:t>
      </w:r>
      <w:bookmarkEnd w:id="32"/>
    </w:p>
    <w:p>
      <w:pPr>
        <w:numPr>
          <w:ilvl w:val="0"/>
          <w:numId w:val="1010"/>
        </w:numPr>
      </w:pPr>
      <w:r>
        <w:rPr>
          <w:b/>
        </w:rPr>
        <w:t xml:space="preserve">Effective date.</w:t>
      </w:r>
      <w:r>
        <w:t xml:space="preserve"> </w:t>
      </w:r>
      <w:r>
        <w:t xml:space="preserve">This Act takes effect one year after enactment.</w:t>
      </w:r>
    </w:p>
    <w:p>
      <w:pPr>
        <w:numPr>
          <w:ilvl w:val="0"/>
          <w:numId w:val="1010"/>
        </w:numPr>
      </w:pPr>
      <w:r>
        <w:rPr>
          <w:b/>
        </w:rPr>
        <w:t xml:space="preserve">Application.</w:t>
      </w:r>
      <w:r>
        <w:t xml:space="preserve"> </w:t>
      </w:r>
      <w:r>
        <w:t xml:space="preserve">This Act applies prospectively to persons leaving covered positions, and to compensation arrangements entered into, on or after the effective date, and applies equally regardless of party.</w:t>
      </w:r>
    </w:p>
    <w:p>
      <w:pPr>
        <w:numPr>
          <w:ilvl w:val="0"/>
          <w:numId w:val="1010"/>
        </w:numPr>
      </w:pPr>
      <w:r>
        <w:rPr>
          <w:b/>
        </w:rPr>
        <w:t xml:space="preserve">Severability.</w:t>
      </w:r>
      <w:r>
        <w:t xml:space="preserve"> </w:t>
      </w:r>
      <w:r>
        <w:t xml:space="preserve">If any provision of this Act, or its application, is held invalid, the remainder of the Act and its application to other persons and circumstances shall not be affected.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32">
    <w:nsid w:val="47261bad"/>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2026-09-20T20:22:43Z</dcterms:created>
  <dcterms:modified xsi:type="dcterms:W3CDTF">2026-09-20T20:22:43Z</dcterms:modified>
</cp:coreProperties>
</file>

<file path=docProps/custom.xml><?xml version="1.0" encoding="utf-8"?>
<Properties xmlns="http://schemas.openxmlformats.org/officeDocument/2006/custom-properties" xmlns:vt="http://schemas.openxmlformats.org/officeDocument/2006/docPropsVTypes"/>
</file>