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f9cd37ab17d60fb047412e1098bb5040ae3b57"/>
      <w:r>
        <w:t xml:space="preserve">The Close the Revolving Door Act — One-Page Summary</w:t>
      </w:r>
      <w:bookmarkEnd w:id="20"/>
    </w:p>
    <w:p>
      <w:pPr>
        <w:pStyle w:val="FirstParagraph"/>
      </w:pPr>
      <w:r>
        <w:rPr>
          <w:i/>
        </w:rPr>
        <w:t xml:space="preserve">A Common Sense Party / Seth Russell 2028 discussion draft. Plain-language summary prepared for review by legislative counsel and for presentation to Members of Congress. The authors are not attorneys.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the-problem"/>
      <w:r>
        <w:t xml:space="preserve">The Problem</w:t>
      </w:r>
      <w:bookmarkEnd w:id="21"/>
    </w:p>
    <w:p>
      <w:pPr>
        <w:pStyle w:val="FirstParagraph"/>
      </w:pPr>
      <w:r>
        <w:t xml:space="preserve">Public office is supposed to be a public trust, not an audition for a lobbying career. But the</w:t>
      </w:r>
      <w:r>
        <w:t xml:space="preserve"> </w:t>
      </w:r>
      <w:r>
        <w:t xml:space="preserve">“</w:t>
      </w:r>
      <w:r>
        <w:t xml:space="preserve">revolving door</w:t>
      </w:r>
      <w:r>
        <w:t xml:space="preserve">”</w:t>
      </w:r>
      <w:r>
        <w:t xml:space="preserve"> </w:t>
      </w:r>
      <w:r>
        <w:t xml:space="preserve">spins freely in both directions, and both parties do it: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Cashing out.</w:t>
      </w:r>
      <w:r>
        <w:t xml:space="preserve"> </w:t>
      </w:r>
      <w:r>
        <w:t xml:space="preserve">By one long-running count,</w:t>
      </w:r>
      <w:r>
        <w:t xml:space="preserve"> </w:t>
      </w:r>
      <w:r>
        <w:rPr>
          <w:b/>
        </w:rPr>
        <w:t xml:space="preserve">43% of members who left Congress became registered lobbyists</w:t>
      </w:r>
      <w:r>
        <w:t xml:space="preserve">, and a majority of recent departing members who took private jobs went into lobbying, consulting, or influence work. Today the only speed bump is a</w:t>
      </w:r>
      <w:r>
        <w:t xml:space="preserve"> </w:t>
      </w:r>
      <w:r>
        <w:rPr>
          <w:b/>
        </w:rPr>
        <w:t xml:space="preserve">one-year</w:t>
      </w:r>
      <w:r>
        <w:t xml:space="preserve"> </w:t>
      </w:r>
      <w:r>
        <w:t xml:space="preserve">wait for former Representatives and</w:t>
      </w:r>
      <w:r>
        <w:t xml:space="preserve"> </w:t>
      </w:r>
      <w:r>
        <w:rPr>
          <w:b/>
        </w:rPr>
        <w:t xml:space="preserve">two years</w:t>
      </w:r>
      <w:r>
        <w:t xml:space="preserve"> </w:t>
      </w:r>
      <w:r>
        <w:t xml:space="preserve">for former Senators—then they can lobby the colleagues they served with days earlier.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The shadow-lobbying dodge.</w:t>
      </w:r>
      <w:r>
        <w:t xml:space="preserve"> </w:t>
      </w:r>
      <w:r>
        <w:t xml:space="preserve">Federal law only makes you register as a lobbyist if lobbying is</w:t>
      </w:r>
      <w:r>
        <w:t xml:space="preserve"> </w:t>
      </w:r>
      <w:r>
        <w:rPr>
          <w:b/>
        </w:rPr>
        <w:t xml:space="preserve">20% or more</w:t>
      </w:r>
      <w:r>
        <w:t xml:space="preserve"> </w:t>
      </w:r>
      <w:r>
        <w:t xml:space="preserve">of your time for a client. So the most powerful ex-officials simply stay under the line—selling</w:t>
      </w:r>
      <w:r>
        <w:t xml:space="preserve"> </w:t>
      </w:r>
      <w:r>
        <w:t xml:space="preserve">“</w:t>
      </w:r>
      <w:r>
        <w:t xml:space="preserve">strategic advice</w:t>
      </w:r>
      <w:r>
        <w:t xml:space="preserve">”</w:t>
      </w:r>
      <w:r>
        <w:t xml:space="preserve"> </w:t>
      </w:r>
      <w:r>
        <w:t xml:space="preserve">and directing teams—and do all the influence-peddling without ever appearing on a disclosure form.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The door swings inward, too.</w:t>
      </w:r>
      <w:r>
        <w:t xml:space="preserve"> </w:t>
      </w:r>
      <w:r>
        <w:t xml:space="preserve">Officials arrive straight from the industries they’re about to regulate—sometimes with</w:t>
      </w:r>
      <w:r>
        <w:t xml:space="preserve"> </w:t>
      </w:r>
      <w:r>
        <w:rPr>
          <w:b/>
        </w:rPr>
        <w:t xml:space="preserve">bonus payments from a former employer for taking the government job</w:t>
      </w:r>
      <w:r>
        <w:t xml:space="preserve">—then oversee their old company or client.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The foreign door.</w:t>
      </w:r>
      <w:r>
        <w:t xml:space="preserve"> </w:t>
      </w:r>
      <w:r>
        <w:t xml:space="preserve">Former senior officials cash in by lobbying for</w:t>
      </w:r>
      <w:r>
        <w:t xml:space="preserve"> </w:t>
      </w:r>
      <w:r>
        <w:rPr>
          <w:b/>
        </w:rPr>
        <w:t xml:space="preserve">foreign governments</w:t>
      </w:r>
      <w:r>
        <w:t xml:space="preserve">, trading on the access and secrets American taxpayers paid for.</w:t>
      </w:r>
    </w:p>
    <w:p>
      <w:pPr>
        <w:pStyle w:val="Heading2"/>
      </w:pPr>
      <w:bookmarkStart w:id="22" w:name="the-fix"/>
      <w:r>
        <w:t xml:space="preserve">The Fix</w:t>
      </w:r>
      <w:bookmarkEnd w:id="22"/>
    </w:p>
    <w:p>
      <w:pPr>
        <w:pStyle w:val="FirstParagraph"/>
      </w:pPr>
      <w:r>
        <w:t xml:space="preserve">Close the door—in both directions—narrowly and fairly, without banning honest citizens from petitioning their government.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 lifetime lobbying ban for former Members of Congress.</w:t>
      </w:r>
      <w:r>
        <w:t xml:space="preserve"> </w:t>
      </w:r>
      <w:r>
        <w:t xml:space="preserve">If you served in the House or Senate, you may never become a paid lobbyist. Period.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Long cooling-off for senior staff and officials.</w:t>
      </w:r>
      <w:r>
        <w:t xml:space="preserve"> </w:t>
      </w:r>
      <w:r>
        <w:t xml:space="preserve">A multi-year wait (with the longest for the most senior) before senior congressional staff and senior executive-branch officials can lobby.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Close the shadow-lobbying loophole.</w:t>
      </w:r>
      <w:r>
        <w:t xml:space="preserve"> </w:t>
      </w:r>
      <w:r>
        <w:t xml:space="preserve">Fix the definition so</w:t>
      </w:r>
      <w:r>
        <w:t xml:space="preserve"> </w:t>
      </w:r>
      <w:r>
        <w:t xml:space="preserve">“</w:t>
      </w:r>
      <w:r>
        <w:t xml:space="preserve">strategic advisers</w:t>
      </w:r>
      <w:r>
        <w:t xml:space="preserve">”</w:t>
      </w:r>
      <w:r>
        <w:t xml:space="preserve"> </w:t>
      </w:r>
      <w:r>
        <w:t xml:space="preserve">and those who manage lobbying campaigns have to register and disclose like everyone else. End the 20% dodge.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Shut the reverse door.</w:t>
      </w:r>
      <w:r>
        <w:t xml:space="preserve"> </w:t>
      </w:r>
      <w:r>
        <w:t xml:space="preserve">Real recusal so officials can’t work on matters involving a former employer or client for years, and a ban on private</w:t>
      </w:r>
      <w:r>
        <w:t xml:space="preserve"> </w:t>
      </w:r>
      <w:r>
        <w:t xml:space="preserve">“</w:t>
      </w:r>
      <w:r>
        <w:t xml:space="preserve">golden parachute</w:t>
      </w:r>
      <w:r>
        <w:t xml:space="preserve">”</w:t>
      </w:r>
      <w:r>
        <w:t xml:space="preserve"> </w:t>
      </w:r>
      <w:r>
        <w:t xml:space="preserve">bonuses paid for entering government.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Bar the foreign door.</w:t>
      </w:r>
      <w:r>
        <w:t xml:space="preserve"> </w:t>
      </w:r>
      <w:r>
        <w:t xml:space="preserve">A lifetime ban on senior former officials lobbying for foreign governments and parties, with stronger foreign-agent enforcement.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Sunlight and teeth.</w:t>
      </w:r>
      <w:r>
        <w:t xml:space="preserve"> </w:t>
      </w:r>
      <w:r>
        <w:t xml:space="preserve">A public revolving-door database, plus civil penalties, forced give-back of illicit fees, and debarment for violations.</w:t>
      </w:r>
    </w:p>
    <w:p>
      <w:pPr>
        <w:pStyle w:val="Heading2"/>
      </w:pPr>
      <w:bookmarkStart w:id="23" w:name="why-its-common-sense"/>
      <w:r>
        <w:t xml:space="preserve">Why It’s Common Sense</w:t>
      </w:r>
      <w:bookmarkEnd w:id="23"/>
    </w:p>
    <w:p>
      <w:pPr>
        <w:pStyle w:val="FirstParagraph"/>
      </w:pPr>
      <w:r>
        <w:t xml:space="preserve">Americans across the spectrum are disgusted by public servants who monetize their offices. This reform doesn’t touch anyone’s free speech or right to petition—it limits</w:t>
      </w:r>
      <w:r>
        <w:t xml:space="preserve"> </w:t>
      </w:r>
      <w:r>
        <w:rPr>
          <w:b/>
        </w:rPr>
        <w:t xml:space="preserve">paid</w:t>
      </w:r>
      <w:r>
        <w:t xml:space="preserve"> </w:t>
      </w:r>
      <w:r>
        <w:t xml:space="preserve">representation by the small group with the most inside access, and it applies equally to every party. It’s the natural companion to our</w:t>
      </w:r>
      <w:r>
        <w:t xml:space="preserve"> </w:t>
      </w:r>
      <w:r>
        <w:t xml:space="preserve">appointments reform</w:t>
      </w:r>
      <w:r>
        <w:t xml:space="preserve">: together they end the trade in government influence.</w:t>
      </w:r>
    </w:p>
    <w:p>
      <w:pPr>
        <w:pStyle w:val="BodyText"/>
      </w:pPr>
      <w:r>
        <w:rPr>
          <w:b/>
        </w:rPr>
        <w:t xml:space="preserve">Read the full text and take action at commonsenseforamerica.org/revolving-door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2026-09-20T20:22:43Z</dcterms:created>
  <dcterms:modified xsi:type="dcterms:W3CDTF">2026-09-20T20:22:43Z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