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120" w:after="140"/>
        <w:pBdr>
          <w:bottom w:val="single" w:sz="18" w:space="6" w:color="D4A843"/>
        </w:pBdr>
      </w:pPr>
      <w:r>
        <w:rPr>
          <w:b/>
          <w:color w:val="1B3A5C"/>
          <w:sz w:val="44"/>
          <w:szCs w:val="44"/>
        </w:rPr>
        <w:t xml:space="preserve">Proposed Legislation: The Public Servants, Not Stock Traders Act</w:t>
      </w:r>
    </w:p>
    <w:p>
      <w:pPr>
        <w:spacing w:after="120" w:line="264" w:lineRule="auto"/>
      </w:pPr>
      <w:r>
        <w:rPr>
          <w:sz w:val="22"/>
          <w:szCs w:val="22"/>
          <w:i/>
        </w:rPr>
        <w:t xml:space="preserve">A discussion draft prepared for review by legislative counsel and for presentation to Members of Congress. This is proposed statutory language, not final legislative text. The authors are not attorneys. (Working title.)</w:t>
      </w:r>
    </w:p>
    <w:p>
      <w:pPr>
        <w:spacing w:after="120" w:line="264" w:lineRule="auto"/>
      </w:pPr>
      <w:r>
        <w:rPr>
          <w:sz w:val="22"/>
          <w:szCs w:val="22"/>
          <w:b/>
        </w:rPr>
        <w:t xml:space="preserve">Why this is a bill, not an amendment:</w:t>
      </w:r>
      <w:r>
        <w:rPr>
          <w:sz w:val="22"/>
          <w:szCs w:val="22"/>
        </w:rPr>
        <w:t xml:space="preserve"> Unlike our constitutional amendments, this reform doesn't require amending the Constitution — Congress could pass it tomorrow. It builds directly on bipartisan bills already moving in Congress (the ETHICS Act and the Ban Congressional Stock Trading Act), but fixes their biggest gap: they leave the President, the Vice President, and much of the senior executive branch in separate, weaker bills — or out entirely. We put everyone who can move a market under one clean rule.</w:t>
      </w:r>
    </w:p>
    <w:p>
      <w:pPr>
        <w:pBdr>
          <w:bottom w:val="single" w:sz="6" w:space="4" w:color="D4A843"/>
        </w:pBdr>
        <w:spacing w:before="60" w:after="120"/>
      </w:pPr>
    </w:p>
    <w:p>
      <w:pPr>
        <w:spacing w:before="240" w:after="80"/>
      </w:pPr>
      <w:r>
        <w:rPr>
          <w:b/>
          <w:color w:val="1B3A5C"/>
          <w:sz w:val="29"/>
          <w:szCs w:val="29"/>
        </w:rPr>
        <w:t xml:space="preserve">A BILL</w:t>
      </w:r>
    </w:p>
    <w:p>
      <w:pPr>
        <w:spacing w:after="120" w:line="264" w:lineRule="auto"/>
      </w:pPr>
      <w:r>
        <w:rPr>
          <w:sz w:val="22"/>
          <w:szCs w:val="22"/>
        </w:rPr>
        <w:t xml:space="preserve">To prohibit Members of Congress, the President, the Vice President, and senior officers of the United States, together with their spouses and dependent children, from holding or trading individual securities and other covered financial instruments, and for other purposes.</w:t>
      </w:r>
    </w:p>
    <w:p>
      <w:pPr>
        <w:spacing w:before="160" w:after="60"/>
      </w:pPr>
      <w:r>
        <w:rPr>
          <w:b/>
          <w:color w:val="1B3A5C"/>
          <w:sz w:val="25"/>
          <w:szCs w:val="25"/>
        </w:rPr>
        <w:t xml:space="preserve">Section 1. Short Title.</w:t>
      </w:r>
    </w:p>
    <w:p>
      <w:pPr>
        <w:spacing w:after="120" w:line="264" w:lineRule="auto"/>
      </w:pPr>
      <w:r>
        <w:rPr>
          <w:sz w:val="22"/>
          <w:szCs w:val="22"/>
        </w:rPr>
        <w:t xml:space="preserve">This Act may be cited as the "Public Servants, Not Stock Traders Act."</w:t>
      </w:r>
    </w:p>
    <w:p>
      <w:pPr>
        <w:spacing w:before="160" w:after="60"/>
      </w:pPr>
      <w:r>
        <w:rPr>
          <w:b/>
          <w:color w:val="1B3A5C"/>
          <w:sz w:val="25"/>
          <w:szCs w:val="25"/>
        </w:rPr>
        <w:t xml:space="preserve">Section 2. Findings.</w:t>
      </w:r>
    </w:p>
    <w:p>
      <w:pPr>
        <w:spacing w:after="120" w:line="264" w:lineRule="auto"/>
      </w:pPr>
      <w:r>
        <w:rPr>
          <w:sz w:val="22"/>
          <w:szCs w:val="22"/>
        </w:rPr>
        <w:t xml:space="preserve">The Congress finds the following:</w:t>
      </w:r>
    </w:p>
    <w:p>
      <w:pPr>
        <w:ind w:left="360" w:hanging="180"/>
        <w:spacing w:after="80"/>
      </w:pPr>
      <w:r>
        <w:rPr>
          <w:b/>
          <w:sz w:val="22"/>
        </w:rPr>
        <w:t xml:space="preserve">1.  </w:t>
      </w:r>
      <w:r>
        <w:rPr>
          <w:sz w:val="22"/>
          <w:szCs w:val="22"/>
        </w:rPr>
        <w:t xml:space="preserve">Public office is a public trust. Officials who set tariffs, award contracts, write regulations, confirm appointments, and steer the economy routinely learn or decide things that move the price of individual companies before the public knows them.</w:t>
      </w:r>
    </w:p>
    <w:p>
      <w:pPr>
        <w:ind w:left="360" w:hanging="180"/>
        <w:spacing w:after="80"/>
      </w:pPr>
      <w:r>
        <w:rPr>
          <w:b/>
          <w:sz w:val="22"/>
        </w:rPr>
        <w:t xml:space="preserve">2.  </w:t>
      </w:r>
      <w:r>
        <w:rPr>
          <w:sz w:val="22"/>
          <w:szCs w:val="22"/>
        </w:rPr>
        <w:t xml:space="preserve">Under existing law, Members of Congress and senior officials must publicly disclose their securities trades under the Stock Act of 2012, but disclosure alone has not stopped the conduct or restored public confidence.</w:t>
      </w:r>
    </w:p>
    <w:p>
      <w:pPr>
        <w:ind w:left="360" w:hanging="180"/>
        <w:spacing w:after="80"/>
      </w:pPr>
      <w:r>
        <w:rPr>
          <w:b/>
          <w:sz w:val="22"/>
        </w:rPr>
        <w:t xml:space="preserve">3.  </w:t>
      </w:r>
      <w:r>
        <w:rPr>
          <w:sz w:val="22"/>
          <w:szCs w:val="22"/>
        </w:rPr>
        <w:t xml:space="preserve">The principal federal criminal conflict-of-interest statute, section 208 of title 18, United States Code, applies to officers and employees throughout the executive branch </w:t>
      </w:r>
      <w:r>
        <w:rPr>
          <w:sz w:val="22"/>
          <w:szCs w:val="22"/>
          <w:b/>
        </w:rPr>
        <w:t xml:space="preserve">but does not apply to the President or the Vice President</w:t>
      </w:r>
      <w:r>
        <w:rPr>
          <w:sz w:val="22"/>
          <w:szCs w:val="22"/>
        </w:rPr>
        <w:t xml:space="preserve"> — leaving the two officials with the greatest capacity to move markets uniquely unbound by it.</w:t>
      </w:r>
    </w:p>
    <w:p>
      <w:pPr>
        <w:ind w:left="360" w:hanging="180"/>
        <w:spacing w:after="80"/>
      </w:pPr>
      <w:r>
        <w:rPr>
          <w:b/>
          <w:sz w:val="22"/>
        </w:rPr>
        <w:t xml:space="preserve">4.  </w:t>
      </w:r>
      <w:r>
        <w:rPr>
          <w:sz w:val="22"/>
          <w:szCs w:val="22"/>
        </w:rPr>
        <w:t xml:space="preserve">No official who can materially affect the value of a company through the powers of their office should simultaneously profit from trading that company's securities, and the public should not have to take that official's word that they did not.</w:t>
      </w:r>
    </w:p>
    <w:p>
      <w:pPr>
        <w:ind w:left="360" w:hanging="180"/>
        <w:spacing w:after="80"/>
      </w:pPr>
      <w:r>
        <w:rPr>
          <w:b/>
          <w:sz w:val="22"/>
        </w:rPr>
        <w:t xml:space="preserve">5.  </w:t>
      </w:r>
      <w:r>
        <w:rPr>
          <w:sz w:val="22"/>
          <w:szCs w:val="22"/>
        </w:rPr>
        <w:t xml:space="preserve">The remedy that works is not more paperwork after the fact, but removing the conflict itself: officials should not hold or trade the individual securities they are in a position to affect.</w:t>
      </w:r>
    </w:p>
    <w:p>
      <w:pPr>
        <w:spacing w:before="160" w:after="60"/>
      </w:pPr>
      <w:r>
        <w:rPr>
          <w:b/>
          <w:color w:val="1B3A5C"/>
          <w:sz w:val="25"/>
          <w:szCs w:val="25"/>
        </w:rPr>
        <w:t xml:space="preserve">Section 3. Definitions.</w:t>
      </w:r>
    </w:p>
    <w:p>
      <w:pPr>
        <w:spacing w:after="120" w:line="264" w:lineRule="auto"/>
      </w:pPr>
      <w:r>
        <w:rPr>
          <w:sz w:val="22"/>
          <w:szCs w:val="22"/>
        </w:rPr>
        <w:t xml:space="preserve">In this Act:</w:t>
      </w:r>
    </w:p>
    <w:p>
      <w:pPr>
        <w:ind w:left="720"/>
        <w:spacing w:after="100"/>
      </w:pPr>
      <w:r>
        <w:rPr>
          <w:sz w:val="22"/>
          <w:szCs w:val="22"/>
        </w:rPr>
        <w:t xml:space="preserve">(a) </w:t>
      </w:r>
      <w:r>
        <w:rPr>
          <w:sz w:val="22"/>
          <w:szCs w:val="22"/>
          <w:b/>
        </w:rPr>
        <w:t xml:space="preserve">"Covered person"</w:t>
      </w:r>
      <w:r>
        <w:rPr>
          <w:sz w:val="22"/>
          <w:szCs w:val="22"/>
        </w:rPr>
        <w:t xml:space="preserve"> means — (1) a Member of Congress; (2) the President and the Vice President; (3) an officer of the executive branch appointed by the President, by and with the advice and consent of the Senate, and compensated at or above level II of the Executive Schedule; and (4) any other officer or employee designated by rule as exercising significant authority over financial markets, procurement, or regulation.</w:t>
      </w:r>
    </w:p>
    <w:p>
      <w:pPr>
        <w:ind w:left="720"/>
        <w:spacing w:after="100"/>
      </w:pPr>
      <w:r>
        <w:rPr>
          <w:sz w:val="22"/>
          <w:szCs w:val="22"/>
        </w:rPr>
        <w:t xml:space="preserve">(b) </w:t>
      </w:r>
      <w:r>
        <w:rPr>
          <w:sz w:val="22"/>
          <w:szCs w:val="22"/>
          <w:b/>
        </w:rPr>
        <w:t xml:space="preserve">"Covered financial instrument"</w:t>
      </w:r>
      <w:r>
        <w:rPr>
          <w:sz w:val="22"/>
          <w:szCs w:val="22"/>
        </w:rPr>
        <w:t xml:space="preserve"> means an individual security, including any stock, corporate bond, option, future, commodity interest, or digital asset or token, the value of which is tied to a particular company, issuer, or enterprise. The term does </w:t>
      </w:r>
      <w:r>
        <w:rPr>
          <w:sz w:val="22"/>
          <w:szCs w:val="22"/>
          <w:b/>
        </w:rPr>
        <w:t xml:space="preserve">not</w:t>
      </w:r>
      <w:r>
        <w:rPr>
          <w:sz w:val="22"/>
          <w:szCs w:val="22"/>
        </w:rPr>
        <w:t xml:space="preserve"> include a diversified mutual fund, a diversified exchange-traded fund, a broad-based index fund, a United States Treasury security, or an interest in a qualified blind trust that complies with Section 6.</w:t>
      </w:r>
    </w:p>
    <w:p>
      <w:pPr>
        <w:ind w:left="720"/>
        <w:spacing w:after="100"/>
      </w:pPr>
      <w:r>
        <w:rPr>
          <w:sz w:val="22"/>
          <w:szCs w:val="22"/>
        </w:rPr>
        <w:t xml:space="preserve">(c) </w:t>
      </w:r>
      <w:r>
        <w:rPr>
          <w:sz w:val="22"/>
          <w:szCs w:val="22"/>
          <w:b/>
        </w:rPr>
        <w:t xml:space="preserve">"Immediate family"</w:t>
      </w:r>
      <w:r>
        <w:rPr>
          <w:sz w:val="22"/>
          <w:szCs w:val="22"/>
        </w:rPr>
        <w:t xml:space="preserve"> means the spouse and any dependent child of a covered person.</w:t>
      </w:r>
    </w:p>
    <w:p>
      <w:pPr>
        <w:ind w:left="720"/>
        <w:spacing w:after="100"/>
      </w:pPr>
      <w:r>
        <w:rPr>
          <w:sz w:val="22"/>
          <w:szCs w:val="22"/>
        </w:rPr>
        <w:t xml:space="preserve">(d) </w:t>
      </w:r>
      <w:r>
        <w:rPr>
          <w:sz w:val="22"/>
          <w:szCs w:val="22"/>
          <w:b/>
        </w:rPr>
        <w:t xml:space="preserve">"Qualified blind trust"</w:t>
      </w:r>
      <w:r>
        <w:rPr>
          <w:sz w:val="22"/>
          <w:szCs w:val="22"/>
        </w:rPr>
        <w:t xml:space="preserve"> means a trust that meets the standards established under Section 6.</w:t>
      </w:r>
    </w:p>
    <w:p>
      <w:pPr>
        <w:spacing w:before="160" w:after="60"/>
      </w:pPr>
      <w:r>
        <w:rPr>
          <w:b/>
          <w:color w:val="1B3A5C"/>
          <w:sz w:val="25"/>
          <w:szCs w:val="25"/>
        </w:rPr>
        <w:t xml:space="preserve">Section 4. Prohibition.</w:t>
      </w:r>
    </w:p>
    <w:p>
      <w:pPr>
        <w:ind w:left="720"/>
        <w:spacing w:after="100"/>
      </w:pPr>
      <w:r>
        <w:rPr>
          <w:sz w:val="22"/>
          <w:szCs w:val="22"/>
        </w:rPr>
        <w:t xml:space="preserve">(a) </w:t>
      </w:r>
      <w:r>
        <w:rPr>
          <w:sz w:val="22"/>
          <w:szCs w:val="22"/>
          <w:b/>
        </w:rPr>
        <w:t xml:space="preserve">In general.</w:t>
      </w:r>
      <w:r>
        <w:rPr>
          <w:sz w:val="22"/>
          <w:szCs w:val="22"/>
        </w:rPr>
        <w:t xml:space="preserve"> A covered person, and the immediate family of a covered person, shall not, during the covered person's period of service, purchase, sell, hold, or otherwise have a beneficial interest in a covered financial instrument.</w:t>
      </w:r>
    </w:p>
    <w:p>
      <w:pPr>
        <w:ind w:left="720"/>
        <w:spacing w:after="100"/>
      </w:pPr>
      <w:r>
        <w:rPr>
          <w:sz w:val="22"/>
          <w:szCs w:val="22"/>
        </w:rPr>
        <w:t xml:space="preserve">(b) </w:t>
      </w:r>
      <w:r>
        <w:rPr>
          <w:sz w:val="22"/>
          <w:szCs w:val="22"/>
          <w:b/>
        </w:rPr>
        <w:t xml:space="preserve">Permitted holdings.</w:t>
      </w:r>
      <w:r>
        <w:rPr>
          <w:sz w:val="22"/>
          <w:szCs w:val="22"/>
        </w:rPr>
        <w:t xml:space="preserve"> Nothing in this Act restricts holding or trading a diversified fund, a broad-based index fund, a United States Treasury security, or assets placed in a qualified blind trust; nor does it restrict ownership of a privately held family business that is not publicly traded, subject to the recusal and disclosure rules that otherwise apply.</w:t>
      </w:r>
    </w:p>
    <w:p>
      <w:pPr>
        <w:spacing w:before="160" w:after="60"/>
      </w:pPr>
      <w:r>
        <w:rPr>
          <w:b/>
          <w:color w:val="1B3A5C"/>
          <w:sz w:val="25"/>
          <w:szCs w:val="25"/>
        </w:rPr>
        <w:t xml:space="preserve">Section 5. Divestiture or Blind Trust.</w:t>
      </w:r>
    </w:p>
    <w:p>
      <w:pPr>
        <w:ind w:left="720"/>
        <w:spacing w:after="100"/>
      </w:pPr>
      <w:r>
        <w:rPr>
          <w:sz w:val="22"/>
          <w:szCs w:val="22"/>
        </w:rPr>
        <w:t xml:space="preserve">(a) Within 180 days after this Act takes effect, or within 180 days after entering a covered position, a covered person shall come into compliance by either — (1) divesting each covered financial instrument held by the covered person or their immediate family; or (2) placing each such instrument into a qualified blind trust.</w:t>
      </w:r>
    </w:p>
    <w:p>
      <w:pPr>
        <w:ind w:left="720"/>
        <w:spacing w:after="100"/>
      </w:pPr>
      <w:r>
        <w:rPr>
          <w:sz w:val="22"/>
          <w:szCs w:val="22"/>
        </w:rPr>
        <w:t xml:space="preserve">(b) The Comptroller General may grant a single extension of not more than 90 days upon a showing that immediate divestiture would cause undue hardship, except that no extension shall permit any trading of the covered instrument by the covered person during the extension.</w:t>
      </w:r>
    </w:p>
    <w:p>
      <w:pPr>
        <w:spacing w:before="160" w:after="60"/>
      </w:pPr>
      <w:r>
        <w:rPr>
          <w:b/>
          <w:color w:val="1B3A5C"/>
          <w:sz w:val="25"/>
          <w:szCs w:val="25"/>
        </w:rPr>
        <w:t xml:space="preserve">Section 6. The President and the Vice President.</w:t>
      </w:r>
    </w:p>
    <w:p>
      <w:pPr>
        <w:ind w:left="720"/>
        <w:spacing w:after="100"/>
      </w:pPr>
      <w:r>
        <w:rPr>
          <w:sz w:val="22"/>
          <w:szCs w:val="22"/>
        </w:rPr>
        <w:t xml:space="preserve">(a) The prohibition in Section 4 and the divestiture requirement in Section 5 apply to the President and the Vice President to the same extent as to any other covered person, notwithstanding the exemption of those offices from section 208 of title 18, United States Code.</w:t>
      </w:r>
    </w:p>
    <w:p>
      <w:pPr>
        <w:ind w:left="720"/>
        <w:spacing w:after="100"/>
      </w:pPr>
      <w:r>
        <w:rPr>
          <w:sz w:val="22"/>
          <w:szCs w:val="22"/>
        </w:rPr>
        <w:t xml:space="preserve">(b) Because the greatest market-moving power in the Government rests in these two offices, the public interest in removing the conflict is at its highest here, not its lowest.</w:t>
      </w:r>
    </w:p>
    <w:p>
      <w:pPr>
        <w:ind w:left="720"/>
        <w:spacing w:after="100"/>
      </w:pPr>
      <w:r>
        <w:rPr>
          <w:sz w:val="22"/>
          <w:szCs w:val="22"/>
        </w:rPr>
        <w:t xml:space="preserve">(c) </w:t>
      </w:r>
      <w:r>
        <w:rPr>
          <w:sz w:val="22"/>
          <w:szCs w:val="22"/>
          <w:i/>
        </w:rPr>
        <w:t xml:space="preserve">Drafting note (not statutory text):</w:t>
      </w:r>
      <w:r>
        <w:rPr>
          <w:sz w:val="22"/>
          <w:szCs w:val="22"/>
        </w:rPr>
        <w:t xml:space="preserve"> Applying a divestiture requirement to the President by ordinary statute raises real separation-of-powers questions, and some scholars argue the office can be fully bound only by the President's own compliance or by constitutional amendment. This draft applies the rule by statute as the fastest path, pairs it with the disclosure and enforcement provisions below, and is written so that even if a court narrowed its application to the President, the requirement would remain fully effective for the Vice President, Congress, and the senior executive branch.</w:t>
      </w:r>
    </w:p>
    <w:p>
      <w:pPr>
        <w:spacing w:before="160" w:after="60"/>
      </w:pPr>
      <w:r>
        <w:rPr>
          <w:b/>
          <w:color w:val="1B3A5C"/>
          <w:sz w:val="25"/>
          <w:szCs w:val="25"/>
        </w:rPr>
        <w:t xml:space="preserve">Section 7. Optional — Federal Judiciary.</w:t>
      </w:r>
    </w:p>
    <w:p>
      <w:pPr>
        <w:ind w:left="720"/>
        <w:spacing w:after="100"/>
      </w:pPr>
      <w:r>
        <w:rPr>
          <w:sz w:val="22"/>
          <w:szCs w:val="22"/>
          <w:i/>
        </w:rPr>
        <w:t xml:space="preserve">This section may be included or advanced separately.</w:t>
      </w:r>
      <w:r>
        <w:rPr>
          <w:sz w:val="22"/>
          <w:szCs w:val="22"/>
        </w:rPr>
        <w:t xml:space="preserve"> The prohibition and divestiture requirements of this Act apply to the Justices of the Supreme Court and to all federal judges, and to their immediate families, in the same manner as to other covered persons, consistent with pending judicial-ethics legislation.</w:t>
      </w:r>
    </w:p>
    <w:p>
      <w:pPr>
        <w:spacing w:before="160" w:after="60"/>
      </w:pPr>
      <w:r>
        <w:rPr>
          <w:b/>
          <w:color w:val="1B3A5C"/>
          <w:sz w:val="25"/>
          <w:szCs w:val="25"/>
        </w:rPr>
        <w:t xml:space="preserve">Section 8. Disclosure.</w:t>
      </w:r>
    </w:p>
    <w:p>
      <w:pPr>
        <w:spacing w:after="120" w:line="264" w:lineRule="auto"/>
      </w:pPr>
      <w:r>
        <w:rPr>
          <w:sz w:val="22"/>
          <w:szCs w:val="22"/>
        </w:rPr>
        <w:t xml:space="preserve">Each covered person shall, within 30 days of coming into compliance, file a public certification of divestiture or blind-trust placement, and shall thereafter file the periodic reports already required under the Stock Act. Certifications and reports shall be posted in a single, searchable public database maintained by the Office of Government Ethics and the Clerk of the House and Secretary of the Senate, as applicable.</w:t>
      </w:r>
    </w:p>
    <w:p>
      <w:pPr>
        <w:spacing w:before="160" w:after="60"/>
      </w:pPr>
      <w:r>
        <w:rPr>
          <w:b/>
          <w:color w:val="1B3A5C"/>
          <w:sz w:val="25"/>
          <w:szCs w:val="25"/>
        </w:rPr>
        <w:t xml:space="preserve">Section 9. Enforcement and Penalties.</w:t>
      </w:r>
    </w:p>
    <w:p>
      <w:pPr>
        <w:ind w:left="720"/>
        <w:spacing w:after="100"/>
      </w:pPr>
      <w:r>
        <w:rPr>
          <w:sz w:val="22"/>
          <w:szCs w:val="22"/>
        </w:rPr>
        <w:t xml:space="preserve">(a) </w:t>
      </w:r>
      <w:r>
        <w:rPr>
          <w:sz w:val="22"/>
          <w:szCs w:val="22"/>
          <w:b/>
        </w:rPr>
        <w:t xml:space="preserve">Civil penalty.</w:t>
      </w:r>
      <w:r>
        <w:rPr>
          <w:sz w:val="22"/>
          <w:szCs w:val="22"/>
        </w:rPr>
        <w:t xml:space="preserve"> A covered person who violates Section 4 shall be liable for a civil penalty of not less than 10 percent of the value of each prohibited transaction or holding, and not less than the greater of that amount or $50,000 per violation.</w:t>
      </w:r>
    </w:p>
    <w:p>
      <w:pPr>
        <w:ind w:left="720"/>
        <w:spacing w:after="100"/>
      </w:pPr>
      <w:r>
        <w:rPr>
          <w:sz w:val="22"/>
          <w:szCs w:val="22"/>
        </w:rPr>
        <w:t xml:space="preserve">(b) </w:t>
      </w:r>
      <w:r>
        <w:rPr>
          <w:sz w:val="22"/>
          <w:szCs w:val="22"/>
          <w:b/>
        </w:rPr>
        <w:t xml:space="preserve">Disgorgement.</w:t>
      </w:r>
      <w:r>
        <w:rPr>
          <w:sz w:val="22"/>
          <w:szCs w:val="22"/>
        </w:rPr>
        <w:t xml:space="preserve"> Any profit realized from a prohibited transaction shall be disgorged to the Treasury. No official should keep a dollar earned in violation of this Act.</w:t>
      </w:r>
    </w:p>
    <w:p>
      <w:pPr>
        <w:ind w:left="720"/>
        <w:spacing w:after="100"/>
      </w:pPr>
      <w:r>
        <w:rPr>
          <w:sz w:val="22"/>
          <w:szCs w:val="22"/>
        </w:rPr>
        <w:t xml:space="preserve">(c) </w:t>
      </w:r>
      <w:r>
        <w:rPr>
          <w:sz w:val="22"/>
          <w:szCs w:val="22"/>
          <w:b/>
        </w:rPr>
        <w:t xml:space="preserve">Referral.</w:t>
      </w:r>
      <w:r>
        <w:rPr>
          <w:sz w:val="22"/>
          <w:szCs w:val="22"/>
        </w:rPr>
        <w:t xml:space="preserve"> Violations shall be referred to the appropriate ethics committee, inspector general, or the Office of Government Ethics, and knowing and willful violations shall be referred to the Department of Justice.</w:t>
      </w:r>
    </w:p>
    <w:p>
      <w:pPr>
        <w:ind w:left="720"/>
        <w:spacing w:after="100"/>
      </w:pPr>
      <w:r>
        <w:rPr>
          <w:sz w:val="22"/>
          <w:szCs w:val="22"/>
        </w:rPr>
        <w:t xml:space="preserve">(d) </w:t>
      </w:r>
      <w:r>
        <w:rPr>
          <w:sz w:val="22"/>
          <w:szCs w:val="22"/>
          <w:b/>
        </w:rPr>
        <w:t xml:space="preserve">Transparency of enforcement.</w:t>
      </w:r>
      <w:r>
        <w:rPr>
          <w:sz w:val="22"/>
          <w:szCs w:val="22"/>
        </w:rPr>
        <w:t xml:space="preserve"> The Office of Government Ethics shall publish an annual report listing every penalty assessed and every referral made under this Act.</w:t>
      </w:r>
    </w:p>
    <w:p>
      <w:pPr>
        <w:spacing w:before="160" w:after="60"/>
      </w:pPr>
      <w:r>
        <w:rPr>
          <w:b/>
          <w:color w:val="1B3A5C"/>
          <w:sz w:val="25"/>
          <w:szCs w:val="25"/>
        </w:rPr>
        <w:t xml:space="preserve">Section 10. Blind Trust Standards.</w:t>
      </w:r>
    </w:p>
    <w:p>
      <w:pPr>
        <w:spacing w:after="120" w:line="264" w:lineRule="auto"/>
      </w:pPr>
      <w:r>
        <w:rPr>
          <w:sz w:val="22"/>
          <w:szCs w:val="22"/>
        </w:rPr>
        <w:t xml:space="preserve">The Office of Government Ethics shall, within 180 days, issue rules defining a qualified blind trust for purposes of this Act, requiring at a minimum an independent trustee with no family or business relationship to the covered person, no communication about specific holdings, and genuine independence of investment decisions.</w:t>
      </w:r>
    </w:p>
    <w:p>
      <w:pPr>
        <w:spacing w:before="160" w:after="60"/>
      </w:pPr>
      <w:r>
        <w:rPr>
          <w:b/>
          <w:color w:val="1B3A5C"/>
          <w:sz w:val="25"/>
          <w:szCs w:val="25"/>
        </w:rPr>
        <w:t xml:space="preserve">Section 11. Effective Date.</w:t>
      </w:r>
    </w:p>
    <w:p>
      <w:pPr>
        <w:spacing w:after="120" w:line="264" w:lineRule="auto"/>
      </w:pPr>
      <w:r>
        <w:rPr>
          <w:sz w:val="22"/>
          <w:szCs w:val="22"/>
        </w:rPr>
        <w:t xml:space="preserve">This Act takes effect 180 days after the date of enactment.</w:t>
      </w:r>
    </w:p>
    <w:p>
      <w:pPr>
        <w:pBdr>
          <w:bottom w:val="single" w:sz="6" w:space="4" w:color="D4A843"/>
        </w:pBdr>
        <w:spacing w:before="60" w:after="120"/>
      </w:pPr>
    </w:p>
    <w:p>
      <w:pPr>
        <w:spacing w:before="160" w:after="60"/>
      </w:pPr>
      <w:r>
        <w:rPr>
          <w:b/>
          <w:color w:val="1B3A5C"/>
          <w:sz w:val="25"/>
          <w:szCs w:val="25"/>
        </w:rPr>
        <w:t xml:space="preserve">Plain-language summary of each section</w:t>
      </w:r>
    </w:p>
    <w:p>
      <w:pPr>
        <w:ind w:left="360" w:hanging="180"/>
        <w:spacing w:after="80"/>
      </w:pPr>
      <w:r>
        <w:rPr>
          <w:sz w:val="22"/>
        </w:rPr>
        <w:t xml:space="preserve">•  </w:t>
      </w:r>
      <w:r>
        <w:rPr>
          <w:sz w:val="22"/>
          <w:szCs w:val="22"/>
          <w:b/>
        </w:rPr>
        <w:t xml:space="preserve">Section 1 — Name.</w:t>
      </w:r>
      <w:r>
        <w:rPr>
          <w:sz w:val="22"/>
          <w:szCs w:val="22"/>
        </w:rPr>
        <w:t xml:space="preserve"> A working short title: the </w:t>
      </w:r>
      <w:r>
        <w:rPr>
          <w:sz w:val="22"/>
          <w:szCs w:val="22"/>
          <w:i/>
        </w:rPr>
        <w:t xml:space="preserve">Public Servants, Not Stock Traders Act.</w:t>
      </w:r>
    </w:p>
    <w:p>
      <w:pPr>
        <w:ind w:left="360" w:hanging="180"/>
        <w:spacing w:after="80"/>
      </w:pPr>
      <w:r>
        <w:rPr>
          <w:sz w:val="22"/>
        </w:rPr>
        <w:t xml:space="preserve">•  </w:t>
      </w:r>
      <w:r>
        <w:rPr>
          <w:sz w:val="22"/>
          <w:szCs w:val="22"/>
          <w:b/>
        </w:rPr>
        <w:t xml:space="preserve">Section 2 — Why.</w:t>
      </w:r>
      <w:r>
        <w:rPr>
          <w:sz w:val="22"/>
          <w:szCs w:val="22"/>
        </w:rPr>
        <w:t xml:space="preserve"> Officials who can move markets shouldn't be trading the companies they can move — and the President and VP, who can move markets most, are the only ones exempt from the main conflict-of-interest law today.</w:t>
      </w:r>
    </w:p>
    <w:p>
      <w:pPr>
        <w:ind w:left="360" w:hanging="180"/>
        <w:spacing w:after="80"/>
      </w:pPr>
      <w:r>
        <w:rPr>
          <w:sz w:val="22"/>
        </w:rPr>
        <w:t xml:space="preserve">•  </w:t>
      </w:r>
      <w:r>
        <w:rPr>
          <w:sz w:val="22"/>
          <w:szCs w:val="22"/>
          <w:b/>
        </w:rPr>
        <w:t xml:space="preserve">Section 3 — Who and what.</w:t>
      </w:r>
      <w:r>
        <w:rPr>
          <w:sz w:val="22"/>
          <w:szCs w:val="22"/>
        </w:rPr>
        <w:t xml:space="preserve"> Covers Congress, the President and VP, senior Senate-confirmed appointees, and their spouses and kids. Bans individual stocks, company bonds, options, futures, commodities, and single-company crypto tokens — but </w:t>
      </w:r>
      <w:r>
        <w:rPr>
          <w:sz w:val="22"/>
          <w:szCs w:val="22"/>
          <w:b/>
        </w:rPr>
        <w:t xml:space="preserve">not</w:t>
      </w:r>
      <w:r>
        <w:rPr>
          <w:sz w:val="22"/>
          <w:szCs w:val="22"/>
        </w:rPr>
        <w:t xml:space="preserve"> diversified funds, index funds, Treasuries, or a blind trust.</w:t>
      </w:r>
    </w:p>
    <w:p>
      <w:pPr>
        <w:ind w:left="360" w:hanging="180"/>
        <w:spacing w:after="80"/>
      </w:pPr>
      <w:r>
        <w:rPr>
          <w:sz w:val="22"/>
        </w:rPr>
        <w:t xml:space="preserve">•  </w:t>
      </w:r>
      <w:r>
        <w:rPr>
          <w:sz w:val="22"/>
          <w:szCs w:val="22"/>
          <w:b/>
        </w:rPr>
        <w:t xml:space="preserve">Section 4 — The rule.</w:t>
      </w:r>
      <w:r>
        <w:rPr>
          <w:sz w:val="22"/>
          <w:szCs w:val="22"/>
        </w:rPr>
        <w:t xml:space="preserve"> While you serve, you don't hold or trade the individual stuff. Diversified funds and Treasuries are fine.</w:t>
      </w:r>
    </w:p>
    <w:p>
      <w:pPr>
        <w:ind w:left="360" w:hanging="180"/>
        <w:spacing w:after="80"/>
      </w:pPr>
      <w:r>
        <w:rPr>
          <w:sz w:val="22"/>
        </w:rPr>
        <w:t xml:space="preserve">•  </w:t>
      </w:r>
      <w:r>
        <w:rPr>
          <w:sz w:val="22"/>
          <w:szCs w:val="22"/>
          <w:b/>
        </w:rPr>
        <w:t xml:space="preserve">Section 5 — How to comply.</w:t>
      </w:r>
      <w:r>
        <w:rPr>
          <w:sz w:val="22"/>
          <w:szCs w:val="22"/>
        </w:rPr>
        <w:t xml:space="preserve"> Within about six months, either sell the individual holdings or put them in a real blind trust.</w:t>
      </w:r>
    </w:p>
    <w:p>
      <w:pPr>
        <w:ind w:left="360" w:hanging="180"/>
        <w:spacing w:after="80"/>
      </w:pPr>
      <w:r>
        <w:rPr>
          <w:sz w:val="22"/>
        </w:rPr>
        <w:t xml:space="preserve">•  </w:t>
      </w:r>
      <w:r>
        <w:rPr>
          <w:sz w:val="22"/>
          <w:szCs w:val="22"/>
          <w:b/>
        </w:rPr>
        <w:t xml:space="preserve">Section 6 — The President is included, on purpose.</w:t>
      </w:r>
      <w:r>
        <w:rPr>
          <w:sz w:val="22"/>
          <w:szCs w:val="22"/>
        </w:rPr>
        <w:t xml:space="preserve"> This is the headline: the rule applies to the President and VP too, exactly because they have the most power and the least oversight today. We're honest that applying it to the sitting President by statute has real legal questions — so the bill is written to keep working for everyone else even if a court narrows it for the President.</w:t>
      </w:r>
    </w:p>
    <w:p>
      <w:pPr>
        <w:ind w:left="360" w:hanging="180"/>
        <w:spacing w:after="80"/>
      </w:pPr>
      <w:r>
        <w:rPr>
          <w:sz w:val="22"/>
        </w:rPr>
        <w:t xml:space="preserve">•  </w:t>
      </w:r>
      <w:r>
        <w:rPr>
          <w:sz w:val="22"/>
          <w:szCs w:val="22"/>
          <w:b/>
        </w:rPr>
        <w:t xml:space="preserve">Section 7 — Judges (optional).</w:t>
      </w:r>
      <w:r>
        <w:rPr>
          <w:sz w:val="22"/>
          <w:szCs w:val="22"/>
        </w:rPr>
        <w:t xml:space="preserve"> Can be included here or moved with the separate Supreme Court ethics bills.</w:t>
      </w:r>
    </w:p>
    <w:p>
      <w:pPr>
        <w:ind w:left="360" w:hanging="180"/>
        <w:spacing w:after="80"/>
      </w:pPr>
      <w:r>
        <w:rPr>
          <w:sz w:val="22"/>
        </w:rPr>
        <w:t xml:space="preserve">•  </w:t>
      </w:r>
      <w:r>
        <w:rPr>
          <w:sz w:val="22"/>
          <w:szCs w:val="22"/>
          <w:b/>
        </w:rPr>
        <w:t xml:space="preserve">Section 8 — Sunlight.</w:t>
      </w:r>
      <w:r>
        <w:rPr>
          <w:sz w:val="22"/>
          <w:szCs w:val="22"/>
        </w:rPr>
        <w:t xml:space="preserve"> One searchable public database of certifications and reports.</w:t>
      </w:r>
    </w:p>
    <w:p>
      <w:pPr>
        <w:ind w:left="360" w:hanging="180"/>
        <w:spacing w:after="80"/>
      </w:pPr>
      <w:r>
        <w:rPr>
          <w:sz w:val="22"/>
        </w:rPr>
        <w:t xml:space="preserve">•  </w:t>
      </w:r>
      <w:r>
        <w:rPr>
          <w:sz w:val="22"/>
          <w:szCs w:val="22"/>
          <w:b/>
        </w:rPr>
        <w:t xml:space="preserve">Section 9 — Teeth.</w:t>
      </w:r>
      <w:r>
        <w:rPr>
          <w:sz w:val="22"/>
          <w:szCs w:val="22"/>
        </w:rPr>
        <w:t xml:space="preserve"> Real civil penalties, forced give-back of any profits, and referrals — with enforcement published every year.</w:t>
      </w:r>
    </w:p>
    <w:p>
      <w:pPr>
        <w:ind w:left="360" w:hanging="180"/>
        <w:spacing w:after="80"/>
      </w:pPr>
      <w:r>
        <w:rPr>
          <w:sz w:val="22"/>
        </w:rPr>
        <w:t xml:space="preserve">•  </w:t>
      </w:r>
      <w:r>
        <w:rPr>
          <w:sz w:val="22"/>
          <w:szCs w:val="22"/>
          <w:b/>
        </w:rPr>
        <w:t xml:space="preserve">Section 10 — Real blind trusts.</w:t>
      </w:r>
      <w:r>
        <w:rPr>
          <w:sz w:val="22"/>
          <w:szCs w:val="22"/>
        </w:rPr>
        <w:t xml:space="preserve"> Not blind trusts in name only.</w:t>
      </w:r>
    </w:p>
    <w:p>
      <w:pPr>
        <w:ind w:left="360" w:hanging="180"/>
        <w:spacing w:after="80"/>
      </w:pPr>
      <w:r>
        <w:rPr>
          <w:sz w:val="22"/>
        </w:rPr>
        <w:t xml:space="preserve">•  </w:t>
      </w:r>
      <w:r>
        <w:rPr>
          <w:sz w:val="22"/>
          <w:szCs w:val="22"/>
          <w:b/>
        </w:rPr>
        <w:t xml:space="preserve">Section 11 — Start date.</w:t>
      </w:r>
      <w:r>
        <w:rPr>
          <w:sz w:val="22"/>
          <w:szCs w:val="22"/>
        </w:rPr>
        <w:t xml:space="preserve"> Six months after it passes.</w:t>
      </w:r>
    </w:p>
    <w:p>
      <w:pPr>
        <w:spacing w:after="120" w:line="264" w:lineRule="auto"/>
      </w:pPr>
      <w:r>
        <w:rPr>
          <w:sz w:val="22"/>
          <w:szCs w:val="22"/>
          <w:i/>
        </w:rPr>
        <w:t xml:space="preserve">This text is a starting point for refinement with legislative counsel, not final language. The authors are not attorneys.</w:t>
      </w:r>
    </w:p>
    <w:sectPr>
      <w:footerReference w:type="default" r:id="rIdF1"/>
      <w:pgSz w:w="12240" w:h="15840"/>
      <w:pgMar w:top="1440" w:right="1800" w:bottom="1440" w:left="1800" w:header="720" w:footer="720" w:gutter="0"/>
    </w:sectPr>
  </w:body>
</w:document>
</file>

<file path=word/footer1.xml><?xml version="1.0" encoding="utf-8"?>
<w:ftr xmlns:w="http://schemas.openxmlformats.org/wordprocessingml/2006/main" xmlns:r="http://schemas.openxmlformats.org/officeDocument/2006/relationships">
  <w:p>
    <w:pPr>
      <w:jc w:val="center"/>
    </w:pPr>
    <w:r>
      <w:rPr>
        <w:color w:val="5A5A5A"/>
        <w:sz w:val="17"/>
      </w:rPr>
      <w:t xml:space="preserve">Common Sense Party ★ commonsenseforamerica.org | Page </w:t>
    </w:r>
    <w:fldSimple w:instr=" PAGE ">
      <w:r>
        <w:rPr>
          <w:color w:val="5A5A5A"/>
          <w:sz w:val="17"/>
        </w:rPr>
        <w:t>1</w:t>
      </w:r>
    </w:fldSimple>
  </w:p>
</w:ftr>
</file>

<file path=word/_rels/document.xml.rels><?xml version="1.0" encoding="UTF-8" standalone="yes"?><Relationships xmlns="http://schemas.openxmlformats.org/package/2006/relationships"><Relationship Id="rIdF1" Type="http://schemas.openxmlformats.org/officeDocument/2006/relationships/footer" Target="footer1.xml"/></Relationships>
</file>